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01571" w:rsidRPr="00E01571" w:rsidTr="009A06A7">
        <w:tc>
          <w:tcPr>
            <w:tcW w:w="4785" w:type="dxa"/>
          </w:tcPr>
          <w:p w:rsidR="00E01571" w:rsidRPr="00E01571" w:rsidRDefault="00E01571" w:rsidP="00E01571">
            <w:pPr>
              <w:ind w:firstLine="567"/>
              <w:contextualSpacing/>
              <w:jc w:val="both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E01571">
              <w:rPr>
                <w:rStyle w:val="a9"/>
                <w:rFonts w:ascii="Times New Roman" w:hAnsi="Times New Roman" w:cs="Times New Roman"/>
                <w:i w:val="0"/>
                <w:noProof/>
                <w:color w:val="auto"/>
                <w:sz w:val="24"/>
                <w:szCs w:val="24"/>
                <w:lang w:eastAsia="ru-RU"/>
              </w:rPr>
              <w:drawing>
                <wp:inline distT="0" distB="0" distL="0" distR="0" wp14:anchorId="459B9C1C" wp14:editId="7DC0CAE4">
                  <wp:extent cx="1040860" cy="847931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RIOP_90-пнг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966" cy="850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E01571" w:rsidRPr="00E01571" w:rsidRDefault="00E01571" w:rsidP="00E01571">
            <w:pPr>
              <w:ind w:left="885" w:firstLine="567"/>
              <w:contextualSpacing/>
              <w:jc w:val="both"/>
              <w:rPr>
                <w:rStyle w:val="a9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E01571">
              <w:rPr>
                <w:rStyle w:val="a9"/>
                <w:rFonts w:ascii="Times New Roman" w:hAnsi="Times New Roman" w:cs="Times New Roman"/>
                <w:i w:val="0"/>
                <w:noProof/>
                <w:color w:val="auto"/>
                <w:sz w:val="24"/>
                <w:szCs w:val="24"/>
                <w:lang w:eastAsia="ru-RU"/>
              </w:rPr>
              <w:drawing>
                <wp:inline distT="0" distB="0" distL="0" distR="0" wp14:anchorId="4D381DC5" wp14:editId="7CDAE627">
                  <wp:extent cx="1994170" cy="535021"/>
                  <wp:effectExtent l="0" t="0" r="635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833" cy="5346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ГАУ ДПО РБ «Бурятский республиканский институт образовательной политики»</w:t>
      </w: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Региональный центр финансовой грамотности</w:t>
      </w: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before="100" w:beforeAutospacing="1" w:after="100" w:afterAutospacing="1" w:line="240" w:lineRule="auto"/>
        <w:ind w:firstLine="567"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Default="001559AC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1559AC">
        <w:rPr>
          <w:rStyle w:val="a9"/>
          <w:rFonts w:ascii="Times New Roman" w:hAnsi="Times New Roman" w:cs="Times New Roman"/>
          <w:b/>
          <w:i w:val="0"/>
          <w:color w:val="auto"/>
          <w:sz w:val="28"/>
          <w:szCs w:val="28"/>
        </w:rPr>
        <w:t>ПРОГРАММА ДОЛГОСРОЧНЫХ СБЕРЕЖЕНИЙ</w:t>
      </w:r>
    </w:p>
    <w:p w:rsidR="001559AC" w:rsidRPr="001559AC" w:rsidRDefault="001559AC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b/>
          <w:i w:val="0"/>
          <w:color w:val="auto"/>
          <w:sz w:val="28"/>
          <w:szCs w:val="28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Практическое пособие для населения Республики Бурятия</w:t>
      </w: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Улан-Удэ, 2024</w:t>
      </w: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br/>
      </w: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Утверждено научно-методическим советом ГАУ ДПО РБ «БРИОП»</w:t>
      </w:r>
    </w:p>
    <w:p w:rsidR="00E01571" w:rsidRPr="00E01571" w:rsidRDefault="00E01571" w:rsidP="00E01571">
      <w:pPr>
        <w:ind w:firstLine="567"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№ 2 от 21.05.2024 г.</w:t>
      </w: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Составители:</w:t>
      </w:r>
    </w:p>
    <w:p w:rsid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1559AC" w:rsidRPr="00E01571" w:rsidRDefault="001559AC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proofErr w:type="spellStart"/>
      <w:r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Зандынова</w:t>
      </w:r>
      <w:proofErr w:type="spellEnd"/>
      <w:r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И.А., главный экономист экономического Отделения – Национальный банк по Республике Бурятия</w:t>
      </w: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Хобраков С. Ц., </w:t>
      </w:r>
      <w:proofErr w:type="spell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к</w:t>
      </w:r>
      <w:proofErr w:type="gram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.п</w:t>
      </w:r>
      <w:proofErr w:type="gram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олит.н</w:t>
      </w:r>
      <w:proofErr w:type="spell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., руководитель РЦФГ ГАУ ДПО РБ «БРИОП»</w:t>
      </w: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Бадмаева Е.В., методист РЦФГ ГАУ ДПО РБ «БРИОП»</w:t>
      </w: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105CC8" w:rsidRDefault="001559AC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Программа долгосрочных сбережений</w:t>
      </w:r>
      <w:r w:rsidR="00E01571"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: практическое пособие для населения Республики Бурятия</w:t>
      </w:r>
      <w:proofErr w:type="gramStart"/>
      <w:r w:rsidR="00E01571"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/ С</w:t>
      </w:r>
      <w:proofErr w:type="gramEnd"/>
      <w:r w:rsidR="00E01571"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ост.: </w:t>
      </w:r>
      <w:proofErr w:type="spellStart"/>
      <w:r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Зандынова</w:t>
      </w:r>
      <w:proofErr w:type="spellEnd"/>
      <w:r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И.А., </w:t>
      </w:r>
      <w:r w:rsidR="00E01571"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Хобраков С. Ц., Бадмаева Е.В.- Улан-Удэ: ГАУ ДПО РБ «БРИОП», 2024. – </w:t>
      </w:r>
      <w:bookmarkStart w:id="0" w:name="_GoBack"/>
      <w:bookmarkEnd w:id="0"/>
      <w:r w:rsidRPr="00105CC8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12</w:t>
      </w:r>
      <w:r w:rsidR="00E01571" w:rsidRPr="00105CC8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с.</w:t>
      </w:r>
    </w:p>
    <w:p w:rsidR="00E01571" w:rsidRPr="00105CC8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105CC8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105CC8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Практическое пособие призвано помочь населению Республики Бурятия</w:t>
      </w:r>
    </w:p>
    <w:p w:rsidR="00E01571" w:rsidRPr="00105CC8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105CC8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105CC8" w:rsidRDefault="00E01571" w:rsidP="00E01571">
      <w:pPr>
        <w:spacing w:after="0" w:line="240" w:lineRule="auto"/>
        <w:ind w:firstLine="567"/>
        <w:contextualSpacing/>
        <w:jc w:val="right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105CC8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74.266.5</w:t>
      </w:r>
    </w:p>
    <w:p w:rsidR="00E01571" w:rsidRPr="00E01571" w:rsidRDefault="00E01571" w:rsidP="00E01571">
      <w:pPr>
        <w:spacing w:after="0" w:line="240" w:lineRule="auto"/>
        <w:ind w:firstLine="567"/>
        <w:contextualSpacing/>
        <w:jc w:val="right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105CC8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74.200.585.82</w:t>
      </w:r>
    </w:p>
    <w:p w:rsidR="00E01571" w:rsidRPr="00E01571" w:rsidRDefault="00E01571" w:rsidP="00E01571">
      <w:pPr>
        <w:spacing w:after="0" w:line="240" w:lineRule="auto"/>
        <w:ind w:firstLine="567"/>
        <w:contextualSpacing/>
        <w:jc w:val="right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spacing w:after="0" w:line="240" w:lineRule="auto"/>
        <w:ind w:firstLine="567"/>
        <w:contextualSpacing/>
        <w:jc w:val="right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©ГАУ ДПО РБ «БРИОП», 2024</w:t>
      </w:r>
    </w:p>
    <w:p w:rsidR="00E01571" w:rsidRPr="00E01571" w:rsidRDefault="00E01571" w:rsidP="00E01571">
      <w:pPr>
        <w:pStyle w:val="Default"/>
        <w:ind w:firstLine="567"/>
        <w:jc w:val="both"/>
        <w:rPr>
          <w:rStyle w:val="a9"/>
          <w:i w:val="0"/>
          <w:color w:val="auto"/>
        </w:rPr>
      </w:pPr>
    </w:p>
    <w:p w:rsidR="00E01571" w:rsidRPr="00E01571" w:rsidRDefault="00E01571" w:rsidP="00E01571">
      <w:pPr>
        <w:pStyle w:val="Default"/>
        <w:ind w:firstLine="567"/>
        <w:jc w:val="both"/>
        <w:rPr>
          <w:rStyle w:val="a9"/>
          <w:i w:val="0"/>
          <w:color w:val="auto"/>
        </w:rPr>
      </w:pPr>
    </w:p>
    <w:p w:rsidR="00E01571" w:rsidRPr="00E01571" w:rsidRDefault="00E01571" w:rsidP="00E01571">
      <w:pPr>
        <w:pStyle w:val="Default"/>
        <w:ind w:firstLine="567"/>
        <w:jc w:val="both"/>
        <w:rPr>
          <w:rStyle w:val="a9"/>
          <w:i w:val="0"/>
          <w:color w:val="auto"/>
        </w:rPr>
      </w:pPr>
    </w:p>
    <w:p w:rsidR="00E01571" w:rsidRPr="00E01571" w:rsidRDefault="00E01571" w:rsidP="00E01571">
      <w:pPr>
        <w:pStyle w:val="Default"/>
        <w:ind w:firstLine="567"/>
        <w:jc w:val="both"/>
        <w:rPr>
          <w:rStyle w:val="a9"/>
          <w:i w:val="0"/>
          <w:color w:val="auto"/>
        </w:rPr>
      </w:pPr>
    </w:p>
    <w:p w:rsidR="008C6992" w:rsidRPr="00E01571" w:rsidRDefault="008C6992" w:rsidP="00E01571">
      <w:pPr>
        <w:ind w:firstLine="567"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Default="00E01571" w:rsidP="00E01571">
      <w:pPr>
        <w:ind w:firstLine="567"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Default="00E01571" w:rsidP="00E01571">
      <w:pPr>
        <w:ind w:firstLine="567"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E01571" w:rsidRPr="00E01571" w:rsidRDefault="00E01571" w:rsidP="00E01571">
      <w:pPr>
        <w:pStyle w:val="2"/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color w:val="auto"/>
          <w:sz w:val="24"/>
          <w:szCs w:val="24"/>
        </w:rPr>
        <w:t>С 1 января 2024 года</w:t>
      </w:r>
      <w:proofErr w:type="gramStart"/>
      <w:r w:rsidRPr="00E01571">
        <w:rPr>
          <w:rStyle w:val="a9"/>
          <w:rFonts w:ascii="Times New Roman" w:hAnsi="Times New Roman" w:cs="Times New Roman"/>
          <w:color w:val="auto"/>
          <w:sz w:val="24"/>
          <w:szCs w:val="24"/>
        </w:rPr>
        <w:t xml:space="preserve"> В</w:t>
      </w:r>
      <w:proofErr w:type="gramEnd"/>
      <w:r w:rsidRPr="00E01571">
        <w:rPr>
          <w:rStyle w:val="a9"/>
          <w:rFonts w:ascii="Times New Roman" w:hAnsi="Times New Roman" w:cs="Times New Roman"/>
          <w:color w:val="auto"/>
          <w:sz w:val="24"/>
          <w:szCs w:val="24"/>
        </w:rPr>
        <w:t xml:space="preserve"> России начала действовать программа долгосрочных сбережений</w:t>
      </w:r>
    </w:p>
    <w:p w:rsidR="001559AC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Программа долгосрочных сбережений граждан (ПДС) — это добровольный </w:t>
      </w:r>
      <w:proofErr w:type="spell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накопительно</w:t>
      </w:r>
      <w:proofErr w:type="spell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-сберегательный продукт с участием государства. Инструмент предусматривает активное самостоятельное участие граждан в накоплении </w:t>
      </w:r>
      <w:proofErr w:type="gram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капитала</w:t>
      </w:r>
      <w:proofErr w:type="gram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как за счет личных средств, так и за счет средств пенсионных накоплений.</w:t>
      </w:r>
    </w:p>
    <w:p w:rsid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Закон о программе долгосрочных сбережений был принят летом 2023 года. Инициатором выступило правительство РФ, а основными авторами стали Минфин и Банк России.</w:t>
      </w:r>
    </w:p>
    <w:p w:rsidR="001559AC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Программа предполагает, что государство создает условия для формирования долгосрочных сбережений.</w:t>
      </w:r>
    </w:p>
    <w:p w:rsid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Суть программы:</w:t>
      </w:r>
    </w:p>
    <w:p w:rsidR="001559AC" w:rsidRDefault="006C6CAC" w:rsidP="006C6CAC">
      <w:pPr>
        <w:spacing w:after="0" w:line="24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C6CAC">
        <w:rPr>
          <w:rFonts w:ascii="Times New Roman" w:hAnsi="Times New Roman" w:cs="Times New Roman"/>
          <w:iCs/>
          <w:sz w:val="24"/>
          <w:szCs w:val="24"/>
        </w:rPr>
        <w:object w:dxaOrig="9622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.85pt;height:269.15pt" o:ole="">
            <v:imagedata r:id="rId7" o:title=""/>
          </v:shape>
          <o:OLEObject Type="Embed" ProgID="PowerPoint.Show.12" ShapeID="_x0000_i1025" DrawAspect="Content" ObjectID="_1818414465" r:id="rId8"/>
        </w:object>
      </w:r>
    </w:p>
    <w:p w:rsidR="00E01571" w:rsidRDefault="00E01571" w:rsidP="001559AC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Участник программы осуществляет в рамках ПДС добровольные взносы, а оператор программы (негосударственный пенсионный фонд, НПФ) инвестирует их, тем самым обеспечивая доходность вложений.</w:t>
      </w:r>
    </w:p>
    <w:p w:rsid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Гражданин может копить средства за счет добровольных взносов, а также перевести в программу ранее сформированные пенсионные накопления.</w:t>
      </w:r>
    </w:p>
    <w:p w:rsid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Государство обязано </w:t>
      </w:r>
      <w:proofErr w:type="spell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софинансировать</w:t>
      </w:r>
      <w:proofErr w:type="spell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накопления граждан в рамках ПДС за счет средств Фонда национального благосостояния (ФНБ) и резервов Социального фонда России (СФР, ранее это был ПФР).</w:t>
      </w:r>
    </w:p>
    <w:p w:rsid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Минимальный срок участия в программе составляет 15 лет.</w:t>
      </w:r>
      <w:r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Софинансирование от государства получат граждане, заключившие в 2024–2026 годах договор долгосрочных сбережений с НПФ и оплатившие взносы на сумму не менее 2 000 рублей в год.</w:t>
      </w:r>
    </w:p>
    <w:p w:rsid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По закону дополнительная финансовая поддержка предусмотрена в течение трех лет. В дальнейшем этот срок может быть продлен по решению правительства.</w:t>
      </w:r>
    </w:p>
    <w:p w:rsid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Максимально возможный объем участия государства в </w:t>
      </w:r>
      <w:proofErr w:type="spell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софинансировании</w:t>
      </w:r>
      <w:proofErr w:type="spell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сбережений граждан составляет 36 000 рублей в год.</w:t>
      </w:r>
    </w:p>
    <w:p w:rsid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lastRenderedPageBreak/>
        <w:t xml:space="preserve">В рамках ПДС предусмотрены три формулы </w:t>
      </w:r>
      <w:proofErr w:type="spell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софинансирования</w:t>
      </w:r>
      <w:proofErr w:type="spell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в зависимости от дохода гражданина:</w:t>
      </w:r>
    </w:p>
    <w:p w:rsidR="001559AC" w:rsidRDefault="006C6CAC" w:rsidP="006C6CAC">
      <w:pPr>
        <w:spacing w:after="0" w:line="240" w:lineRule="auto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B9A9A23" wp14:editId="5CDED76A">
            <wp:extent cx="5940425" cy="3106016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6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571" w:rsidRDefault="001559AC" w:rsidP="001559AC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</w:t>
      </w:r>
      <w:r w:rsidR="00E01571"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ри среднемесячном доходе гражданина в размере не более 80 000 рублей за каждый вложенный в рамках ПДС рубль государство внесет на его счет еще 1 рубль. Таким образом, чтобы получить от государства 36 000 рублей </w:t>
      </w:r>
      <w:proofErr w:type="spellStart"/>
      <w:r w:rsidR="00E01571"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софинансирования</w:t>
      </w:r>
      <w:proofErr w:type="spellEnd"/>
      <w:r w:rsidR="00E01571"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, необходимо в течение года внести средства на ту же сумму, или 3 000 рублей в месяц.</w:t>
      </w:r>
    </w:p>
    <w:p w:rsid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При доходе гражданина от 80 000 до 150 000 рублей в месяц объем </w:t>
      </w:r>
      <w:proofErr w:type="spell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софинансирования</w:t>
      </w:r>
      <w:proofErr w:type="spell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государства составит 50 копеек на 1 рубль. Для получения доплаты в 36 000 рублей в этом случае им понадобится вложить в рамках ПДС в течение года 72 000 рублей, или 6 000 рублей в месяц.</w:t>
      </w:r>
    </w:p>
    <w:p w:rsid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При доходе гражданина более 150 000 рублей в месяц объем </w:t>
      </w:r>
      <w:proofErr w:type="spell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софинансирования</w:t>
      </w:r>
      <w:proofErr w:type="spell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составит 25 копеек на 1 рубль. То есть для получения максимальной доплаты нужно вложить в течение года 144 000 рублей (12 000 рублей в месяц).</w:t>
      </w:r>
    </w:p>
    <w:p w:rsidR="006C6CAC" w:rsidRDefault="006C6CAC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6C6CAC" w:rsidRDefault="006C6CAC" w:rsidP="006C6CAC">
      <w:pPr>
        <w:spacing w:after="0" w:line="240" w:lineRule="auto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2BB7406" wp14:editId="432A0B96">
            <wp:extent cx="5940425" cy="3152613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2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Государство также гарантирует участникам программы ряд иных стимулов:</w:t>
      </w:r>
    </w:p>
    <w:p w:rsid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страхование внесенных гражданами средств в общем объеме до 2,8 </w:t>
      </w:r>
      <w:proofErr w:type="gram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млн</w:t>
      </w:r>
      <w:proofErr w:type="gram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рублей (по сравнению с 1,4 млн рублей в системе страхования вкладов);</w:t>
      </w:r>
    </w:p>
    <w:p w:rsid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lastRenderedPageBreak/>
        <w:t>налоговый вычет в размере до 52 000 рублей ежегодно при уплате взносов на сумму до 400 000 рублей в год (13% от суммы взносов);</w:t>
      </w:r>
    </w:p>
    <w:p w:rsid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возможность забрать средства досрочно при наступлении «особых жизненных ситуаций».</w:t>
      </w:r>
    </w:p>
    <w:p w:rsidR="006C6CAC" w:rsidRDefault="006C6CAC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6C6CAC" w:rsidRDefault="006C6CAC" w:rsidP="006C6CAC">
      <w:pPr>
        <w:spacing w:after="0" w:line="240" w:lineRule="auto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38C3CD2" wp14:editId="500AC2AF">
            <wp:extent cx="5940425" cy="3289336"/>
            <wp:effectExtent l="0" t="0" r="317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Обязательна ли новая программа для населения</w:t>
      </w:r>
    </w:p>
    <w:p w:rsid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Участие граждан в программе долгосрочных сбережений предполагается только на добровольной основе, то есть участвовать в ней необязательно.</w:t>
      </w:r>
    </w:p>
    <w:p w:rsid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Для участия в программе гражданин должен заключить договор долгосрочных сбережений с НПФ. Закон о ПДС также предусматривает возможность заключения договора долгосрочных сбережений юридическими или физическими лицами в пользу третьих лиц.</w:t>
      </w:r>
    </w:p>
    <w:p w:rsidR="006C6CAC" w:rsidRDefault="006C6CAC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6C6CAC" w:rsidRDefault="006C6CAC" w:rsidP="006C6CAC">
      <w:pPr>
        <w:spacing w:after="0" w:line="240" w:lineRule="auto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C032030" wp14:editId="7CABF2A5">
            <wp:extent cx="5940425" cy="312441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Предполагается, что формирование гражданами добровольных долгосрочных сбережений позволит им в будущем получать дополнительный доход или обеспечить финансовые ресурсы для других целей (например, оплаты дорогостоящих видов лечения).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lastRenderedPageBreak/>
        <w:t xml:space="preserve">По оценке Банка России, принять участие в программе могут порядка 30 </w:t>
      </w:r>
      <w:proofErr w:type="gram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млн</w:t>
      </w:r>
      <w:proofErr w:type="gram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человек. По оценке Сбербанка, до конца 2024 года в программу могут вступить до 1,5 </w:t>
      </w:r>
      <w:proofErr w:type="gram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млн</w:t>
      </w:r>
      <w:proofErr w:type="gram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человек.</w:t>
      </w:r>
    </w:p>
    <w:p w:rsidR="000C3A9B" w:rsidRPr="000C3A9B" w:rsidRDefault="00E01571" w:rsidP="000C3A9B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0C3A9B">
        <w:rPr>
          <w:rStyle w:val="a9"/>
          <w:rFonts w:ascii="Times New Roman" w:hAnsi="Times New Roman" w:cs="Times New Roman"/>
          <w:b/>
          <w:i w:val="0"/>
          <w:color w:val="auto"/>
          <w:sz w:val="24"/>
          <w:szCs w:val="24"/>
        </w:rPr>
        <w:t>Как принять участие в ПДС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Принять участие в программе долгосрочных сбережений может любой гражданин России возрастом от 18 лет. Предельный возраст для вступления в программу законом не установлен.</w:t>
      </w:r>
      <w:r w:rsidR="000C3A9B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Копить средства в рамках ПДС можно и в пользу третьих лиц — например, детей. Накопленные в рамках программы денежные средства также будут наследоваться в полном объеме.</w:t>
      </w:r>
    </w:p>
    <w:p w:rsidR="006C6CAC" w:rsidRDefault="006C6CAC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6C6CAC" w:rsidRDefault="006C6CAC" w:rsidP="006C6CAC">
      <w:pPr>
        <w:spacing w:after="0" w:line="240" w:lineRule="auto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9ACBFDA" wp14:editId="04AC4BDF">
            <wp:extent cx="5940425" cy="3061259"/>
            <wp:effectExtent l="0" t="0" r="3175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6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Для участия в ПДС гражданин должен выбрать одного или нескольких операторов — НПФ, которые будут управлять его </w:t>
      </w:r>
      <w:proofErr w:type="gram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средствами</w:t>
      </w:r>
      <w:proofErr w:type="gram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и инвестировать их. Реестр лицензий НПФ можно найти на сайте </w:t>
      </w:r>
      <w:r w:rsidR="007312F3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ЦБ. Сейчас в России работают 37 </w:t>
      </w: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негосударственных пенсионных фондов.</w:t>
      </w:r>
      <w:r w:rsidR="000C3A9B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После этого необходимо заключить специальный договор долгосрочных сбережений и совершать добровольные взносы.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В качестве добровольных взносов на счет в рамках ПДС можно перевести пенсионные накопления, сформированные у граждан, работавших в 2002–2014 годах. Тогда пенсионные отчисления работодателей в размере 6% от заработной платы работников перечислялись на формирование накопительной пенсии. В 2014 году был принят закон о «заморозке» пенсионных накоплений. Узнать наличие и размер пенсионных накоплений можно в одном из отделений СФР или на его официальном сайте.</w:t>
      </w:r>
    </w:p>
    <w:p w:rsidR="007312F3" w:rsidRDefault="007312F3" w:rsidP="007312F3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Договор долгосрочных сбережений заключается на срок не менее 15 лет. Величину первого взноса, а также размер и периодичность последующих взносов участник программы может определить самостоятельно. Количество договоров долгосрочных сбережений для одного гражданина по закону не ограничено.</w:t>
      </w:r>
      <w:r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Куда будут инвестироваться накопления</w:t>
      </w:r>
    </w:p>
    <w:p w:rsidR="006C6CAC" w:rsidRDefault="006C6CAC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0C3A9B" w:rsidRDefault="006C6CAC" w:rsidP="006C6CAC">
      <w:pPr>
        <w:spacing w:after="0" w:line="240" w:lineRule="auto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0B75D1C1" wp14:editId="50CEE93C">
            <wp:extent cx="5940425" cy="3193078"/>
            <wp:effectExtent l="0" t="0" r="317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3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Предполагается, что НПФ будут инвестировать средства граждан «на принципах доходности и безубыточности», то есть в консервативные финансовые инструменты.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К таким инструментам относятся: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облигации федерального займа (ОФЗ);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инфраструктурные облигации;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корпоративные облигации российских компаний;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другие ценные бумаги.</w:t>
      </w:r>
    </w:p>
    <w:p w:rsidR="006C6CAC" w:rsidRDefault="006C6CAC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6C6CAC" w:rsidRDefault="006C6CAC" w:rsidP="006C6CAC">
      <w:pPr>
        <w:spacing w:after="0" w:line="240" w:lineRule="auto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F0D331A" wp14:editId="5DAAF5CA">
            <wp:extent cx="5940425" cy="3273396"/>
            <wp:effectExtent l="0" t="0" r="3175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3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В законе не определен перечень инструментов, в которые НПФ могут инвестировать денежные средства, в том числе нет ограничений на вложения в иностранные инструменты. При этом все инвестиции в рамках ПДС будут осуществляться под контролем Банка России. По действующим правилам НПФ не могут вкладывать более 10% сре</w:t>
      </w:r>
      <w:proofErr w:type="gram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дств кл</w:t>
      </w:r>
      <w:proofErr w:type="gram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иентов в </w:t>
      </w:r>
      <w:proofErr w:type="spell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высокорискованные</w:t>
      </w:r>
      <w:proofErr w:type="spell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инструменты.</w:t>
      </w: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br/>
        <w:t>Здесь вы можете изучить доходность ОФЗ, тут — почитать о том, как работают облигации.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lastRenderedPageBreak/>
        <w:t xml:space="preserve">Исходя из регуляторных ограничений и требований, НПФ преимущественно вкладываются в максимально надежные и </w:t>
      </w:r>
      <w:proofErr w:type="spell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низкорисковые</w:t>
      </w:r>
      <w:proofErr w:type="spell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инструменты, прежде всего в государственные облигации и облигации крупнейших надежных эмитентов (в основном госкомпаний), поясняет руководитель Аналитического центра </w:t>
      </w:r>
      <w:proofErr w:type="spell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Банки</w:t>
      </w:r>
      <w:proofErr w:type="gram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.р</w:t>
      </w:r>
      <w:proofErr w:type="gram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у</w:t>
      </w:r>
      <w:proofErr w:type="spell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Дмитрий Хмелев.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По данным ЦБ, по состоянию на III квартал 2023 года на облигации приходилось более 80% совокупного портфеля пенсионных накоплений НПФ, на акции — всего 6%. В пенсионных резервах (средства программ негосударственного пенсионного обеспечения) доля акций традиционно выше — 11%, но основные инструменты те же — корпоративные и государственные облигации.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В рамках ПДС граждане имеют возможность сменить НПФ, в </w:t>
      </w:r>
      <w:proofErr w:type="gram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котором</w:t>
      </w:r>
      <w:proofErr w:type="gram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осуществляется формирование его долгосрочных сбережений. НПФ должен обеспечить сохранение сформированных сбережений в результате инвестирования средств участника программы. Менять оператора при этом можно только один раз в пять лет.</w:t>
      </w:r>
    </w:p>
    <w:p w:rsidR="006C6CAC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Каким может быть доход от инвестиций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Первостепенная задача НПФ — уберечь деньги от инфляции и сохранить их покупательную способность, отмечает Хмелев.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По данным ЦБ, за девять месяцев 2023 года средневзвешенная доходность пенсионных накоплений, находящихся в управлении в НПФ, до вычета вознаграждения фонда составила 8,1% в годовом выражении. По оценке Росстата, инфляция в России в январе — сентябре составила 4,6%. Таким образом, реальная средневзвешенная доходность составила 3,5%.</w:t>
      </w:r>
    </w:p>
    <w:p w:rsidR="006C6CAC" w:rsidRDefault="006C6CAC" w:rsidP="006C6CAC">
      <w:pPr>
        <w:spacing w:after="0" w:line="240" w:lineRule="auto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4627FA8" wp14:editId="62D56F5F">
            <wp:extent cx="5940425" cy="3450584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5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В 2022 году средневзвешенная доходность составила 5,1% при инфляции в 11,94%, то есть реальная средневзвешенная доходность была отрицательной (–6,84%).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Узнать и сравнить доходность различных НПФ можно на сайте ЦБ.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При этом важно понимать, что пенсионные средства — это «длинные деньги», поэтому оценивать результаты инвестиций целесообразно за продолжительный период времени, от 5 лет и более.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«С основной своей целью — сохранить покупательную способность средств и уберечь их от инфляции — НПФ чаще всего справляются. Но говорить о какой-то высокой доходности, значительно превышающей инфляцию, к сожалению, пока не приходится», — отмечает Хмелев.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В случае ПДС доходность может быть выше, чем в случае простого управления НПФ, за счет </w:t>
      </w:r>
      <w:proofErr w:type="spell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софинансирования</w:t>
      </w:r>
      <w:proofErr w:type="spell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инвестиций государством. Вложенные гражданами </w:t>
      </w: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lastRenderedPageBreak/>
        <w:t xml:space="preserve">средства на сумму 2,8 </w:t>
      </w:r>
      <w:proofErr w:type="gram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млн</w:t>
      </w:r>
      <w:proofErr w:type="gram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рублей при этом застрахованы в Агентстве по страхованию вкладов (АСВ), что снижает риски получения убытка.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Оценить примерный размер выплат по ПДС можно с помощью специального калькулятора.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Можно ли досрочно забрать деньги из ПДС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Право на получение выплат в рамках ПДС будут иметь граждане, участвовавшие в программе не менее 15 лет или достигшие возраста 55 лет (женщины) и 60 лет (мужчины).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По выбору участника программы периодические выплаты могут быть пожизненными или срочными (на срок не менее 10 лет). В том случае, если ежемесячная пожизненная выплата будет ниже 10% официального прожиточного минимума пенсионера, предусмотрена возможность единовременной выплаты.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При этом для граждан предусмотрена возможность забрать средства досрочно без потери накопленного дохода при наступлении «особых жизненных ситуаций». К таким ситуациям отнесены оплата дорогостоящего лечения участника программы (перечень видов лечения утверждается правительством) и потеря кормильца.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В иных случаях досрочно получить пенсионные накопления и сумму </w:t>
      </w:r>
      <w:proofErr w:type="spell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софинансирования</w:t>
      </w:r>
      <w:proofErr w:type="spell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от государства нельзя. Дополнительные взносы можно забрать в любой момент, но при досрочной выплате полученная сумма может оказаться меньше внесенной – это зависит от условий договора с НПФ.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В чем отличие ПДС от индивидуальных инвестиционных счетов</w:t>
      </w:r>
      <w:r w:rsidR="000C3A9B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для инвестирования.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Ключевое отличие ПДС от ИИС состоит в том, что инвестор, имеющий ИИС, может самостоятельно распоряжаться своим капиталом на счете, определяя, во что вложить ту или иную часть денежных средств. В ПДС все решения принимает оператор программы, то есть НПФ.</w:t>
      </w:r>
      <w:r w:rsidR="000C3A9B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ИИС не предполагает </w:t>
      </w:r>
      <w:proofErr w:type="spell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софинансирования</w:t>
      </w:r>
      <w:proofErr w:type="spell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вложений государством и страхования накоплений. </w:t>
      </w:r>
      <w:proofErr w:type="gram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Кроме того, ПДС ориентирована на долгосрочные инвестиции, а ИИС в первую очередь на среднесрочные.</w:t>
      </w:r>
      <w:proofErr w:type="gramEnd"/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Фактически единственное сходство ПДС и ИИС — возможность получения налогового вычета на сумму до 52 000 рублей в год (при зачислении на счет 400 000 рублей)</w:t>
      </w:r>
      <w:proofErr w:type="gram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.П</w:t>
      </w:r>
      <w:proofErr w:type="gram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реимущества и недостатки ПДС для граждан</w:t>
      </w:r>
      <w:r w:rsidR="000C3A9B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Программа долгосрочных сбережений имеет свои плюсы и минусы:</w:t>
      </w:r>
    </w:p>
    <w:p w:rsidR="000C3A9B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К основным плюсам ПДС можно отнести следующие особенности.</w:t>
      </w:r>
    </w:p>
    <w:p w:rsidR="006C6CAC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proofErr w:type="spell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Cофинансирование</w:t>
      </w:r>
      <w:proofErr w:type="spell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вложений со стороны государства (сумма </w:t>
      </w:r>
      <w:proofErr w:type="spell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софинансирования</w:t>
      </w:r>
      <w:proofErr w:type="spell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зависит от дохода участника ПДС)</w:t>
      </w:r>
      <w:proofErr w:type="gram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.</w:t>
      </w:r>
      <w:proofErr w:type="spell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о</w:t>
      </w:r>
      <w:proofErr w:type="gram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зможность</w:t>
      </w:r>
      <w:proofErr w:type="spell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перевести на счет в рамках ПДС пенсионные накопления, сформированные в 2002–2014 годах.</w:t>
      </w:r>
      <w:r w:rsidR="006C6CAC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</w:p>
    <w:p w:rsidR="006C6CAC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Налоговый вычет в размере до 52 000 рублей в год.</w:t>
      </w:r>
    </w:p>
    <w:p w:rsidR="006C6CAC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Страхование государством внесенных средств в объеме 2,8 </w:t>
      </w:r>
      <w:proofErr w:type="gram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млн</w:t>
      </w:r>
      <w:proofErr w:type="gram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рублей.</w:t>
      </w:r>
    </w:p>
    <w:p w:rsidR="006C6CAC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К основным минусам ПДС можно отнести следующие особенности.</w:t>
      </w:r>
    </w:p>
    <w:p w:rsidR="006C6CAC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Невысокая доходность НПФ. На длительных горизонтах НПФ показывают доходность на уровне инфляции, отмечает Хмелев. То есть сохранить покупательную способность накоплений они позволяют, но в большинстве случаев не более того.</w:t>
      </w:r>
    </w:p>
    <w:p w:rsidR="006C6CAC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Длительный срок договора (от 15 лет).</w:t>
      </w:r>
    </w:p>
    <w:p w:rsidR="006C6CAC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Отсутствие возможности самостоятельно определять состав инвестиционного портфеля.</w:t>
      </w:r>
    </w:p>
    <w:p w:rsidR="006C6CAC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Софинансирование от государства в настоящее время предусмотрено только в течение трех лет.</w:t>
      </w:r>
    </w:p>
    <w:p w:rsidR="006C6CAC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Хмелев также в числе недостатков ПДС для привлечения сре</w:t>
      </w:r>
      <w:proofErr w:type="gram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дств гр</w:t>
      </w:r>
      <w:proofErr w:type="gram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аждан называет общее недоверие населения к пенсионной системе. Чтобы изменить этот тренд, необходимо время, считает он.</w:t>
      </w:r>
    </w:p>
    <w:p w:rsidR="006C6CAC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Программа долгосрочных сбережений: главное</w:t>
      </w:r>
    </w:p>
    <w:p w:rsidR="006C6CAC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Программа долгосрочных сбережений граждан (ПДС) — это добровольный </w:t>
      </w:r>
      <w:proofErr w:type="spell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накопительно</w:t>
      </w:r>
      <w:proofErr w:type="spell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-сберегательный продукт для граждан с участием государства. Инструмент </w:t>
      </w: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lastRenderedPageBreak/>
        <w:t xml:space="preserve">предусматривает активное самостоятельное участие граждан в накоплении </w:t>
      </w:r>
      <w:proofErr w:type="gram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капитала</w:t>
      </w:r>
      <w:proofErr w:type="gram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как за счет личных средств граждан, так и за счет средств пенсионных накоплений.</w:t>
      </w:r>
    </w:p>
    <w:p w:rsidR="006C6CAC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Государство обязано </w:t>
      </w:r>
      <w:proofErr w:type="spell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софинансировать</w:t>
      </w:r>
      <w:proofErr w:type="spell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накопления граждан в рамках ПДС. Софинансирование получат граждане, заключившие в 2024–2026 годах договор долгосрочных сбережений с НПФ и оплатившие взносы на сумму не менее 2 000 рублей в год. Дополнительная финансовая поддержка предусмотрена в течение трех лет (в дальнейшем этот срок может быть продлен).</w:t>
      </w:r>
    </w:p>
    <w:p w:rsidR="006C6CAC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Максимально возможный объем участия государства в </w:t>
      </w:r>
      <w:proofErr w:type="spell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софинансировании</w:t>
      </w:r>
      <w:proofErr w:type="spell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сбережений составляет 36 000 рублей в год. В рамках ПДС предусмотрены три формулы </w:t>
      </w:r>
      <w:proofErr w:type="spell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софинансирования</w:t>
      </w:r>
      <w:proofErr w:type="spell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в зависимости от дохода гражданина.</w:t>
      </w:r>
    </w:p>
    <w:p w:rsidR="006C6CAC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Государство также гарантирует участникам программы страхование внесенных средств в объеме до 2,8 </w:t>
      </w:r>
      <w:proofErr w:type="gram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млн</w:t>
      </w:r>
      <w:proofErr w:type="gram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рублей, налоговый вычет в размере до 52 000 рублей в год при уплате взносов на сумму до 400 000 рублей в год и возможность забрать средства досрочно при наступлении «особых жизненных ситуаций» (оплата дорогостоящего лечения и потеря кормильца).</w:t>
      </w:r>
    </w:p>
    <w:p w:rsidR="006C6CAC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Участие граждан в программе долгосрочных сбережений предполагается только на добровольной основе. Принять участие в программе долгосрочных сбережений может любой гражданин России возрастом от 18 лет. Копить средства в рамках ПДС можно и в пользу третьих лиц — например, детей. Накопленные в рамках программы денежные средства будут наследоваться в полном объеме.</w:t>
      </w:r>
    </w:p>
    <w:p w:rsidR="006C6CAC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Для участия в ПДС гражданин должен выбрать одного или нескольких операторов — НПФ, которые будут управлять его </w:t>
      </w:r>
      <w:proofErr w:type="gram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средствами</w:t>
      </w:r>
      <w:proofErr w:type="gram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и инвестировать их. После этого необходимо заключить специальный договор долгосрочных сбережений и осуществлять добровольные взносы. Величину и периодичность взносов участник программы может определить самостоятельно. При этом предусмотрена возможность смены НПФ, но не чаще чем раз в пять лет.</w:t>
      </w:r>
    </w:p>
    <w:p w:rsidR="006C6CAC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Предполагается, что НПФ будут инвестировать средства граждан «на принципах доходности и безубыточности», то есть в консервативные финансовые инструменты. Как правило, НПФ вкладывают средства в государственные облигации и облигации крупнейших эмитентов, в основном госкомпаний.</w:t>
      </w:r>
    </w:p>
    <w:p w:rsidR="006C6CAC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Право на получение выплат в рамках ПДС будут иметь граждане, участвовавшие в программе не менее 15 лет или достигшие возраста 55 лет (женщины) и 60 лет (мужчины). По выбору участника программы периодические выплаты могут быть пожизненными или срочными (на срок не менее 10 лет). В том случае, если ежемесячная пожизненная выплата будет ниже 10% официального прожиточного минимума пенсионера, предусмотрена возможность единовременной выплаты.</w:t>
      </w:r>
    </w:p>
    <w:p w:rsidR="006C6CAC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К основным плюсам ПДС можно отнести </w:t>
      </w:r>
      <w:proofErr w:type="spellStart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софинансирование</w:t>
      </w:r>
      <w:proofErr w:type="spellEnd"/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вложений государством, возможность инвестирования «замороженных» пенсионных накоплений, страхование внесенных средств и налоговый вычет.</w:t>
      </w:r>
    </w:p>
    <w:p w:rsidR="00E01571" w:rsidRDefault="00E01571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Основной минус программы — невысокая доходность. </w:t>
      </w:r>
    </w:p>
    <w:p w:rsidR="001559AC" w:rsidRDefault="001559AC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1559AC" w:rsidRDefault="001559AC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1559AC" w:rsidRDefault="001559AC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1559AC" w:rsidRDefault="001559AC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1559AC" w:rsidRDefault="001559AC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1559AC" w:rsidRDefault="001559AC" w:rsidP="00E01571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1559AC" w:rsidRDefault="001559AC" w:rsidP="001559AC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1559AC" w:rsidRDefault="001559AC" w:rsidP="001559AC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1559AC" w:rsidRDefault="001559AC" w:rsidP="001559AC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1559AC" w:rsidRDefault="001559AC" w:rsidP="001559AC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Программа долгосрочных сбережений</w:t>
      </w:r>
    </w:p>
    <w:p w:rsidR="001559AC" w:rsidRDefault="001559AC" w:rsidP="001559AC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практическое пособие для населения Республики Бурятия</w:t>
      </w:r>
    </w:p>
    <w:p w:rsidR="001559AC" w:rsidRDefault="001559AC" w:rsidP="001559AC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1559AC" w:rsidRDefault="001559AC" w:rsidP="001559AC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1559AC" w:rsidRPr="00E01571" w:rsidRDefault="001559AC" w:rsidP="001559AC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proofErr w:type="spellStart"/>
      <w:r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Зандынова</w:t>
      </w:r>
      <w:proofErr w:type="spellEnd"/>
      <w:r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 xml:space="preserve"> Ирина Алексеевна  </w:t>
      </w:r>
    </w:p>
    <w:p w:rsidR="001559AC" w:rsidRPr="00E01571" w:rsidRDefault="001559AC" w:rsidP="001559AC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Хобраков Солбон Цыренжапович</w:t>
      </w:r>
    </w:p>
    <w:p w:rsidR="001559AC" w:rsidRPr="00E01571" w:rsidRDefault="001559AC" w:rsidP="001559AC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  <w:r w:rsidRPr="00E01571"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Бадмаева Е</w:t>
      </w:r>
      <w:r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  <w:t>лена Владимировна</w:t>
      </w:r>
    </w:p>
    <w:p w:rsidR="001559AC" w:rsidRPr="00E01571" w:rsidRDefault="001559AC" w:rsidP="001559AC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1559AC" w:rsidRPr="00E01571" w:rsidRDefault="001559AC" w:rsidP="001559AC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1559AC" w:rsidRPr="00E01571" w:rsidRDefault="001559AC" w:rsidP="001559AC">
      <w:pPr>
        <w:spacing w:after="0" w:line="240" w:lineRule="auto"/>
        <w:ind w:firstLine="567"/>
        <w:contextualSpacing/>
        <w:jc w:val="center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1559AC" w:rsidRPr="00E01571" w:rsidRDefault="001559AC" w:rsidP="001559AC">
      <w:pPr>
        <w:spacing w:after="0" w:line="240" w:lineRule="auto"/>
        <w:ind w:firstLine="567"/>
        <w:contextualSpacing/>
        <w:jc w:val="both"/>
        <w:rPr>
          <w:rStyle w:val="a9"/>
          <w:rFonts w:ascii="Times New Roman" w:hAnsi="Times New Roman" w:cs="Times New Roman"/>
          <w:i w:val="0"/>
          <w:color w:val="auto"/>
          <w:sz w:val="24"/>
          <w:szCs w:val="24"/>
        </w:rPr>
      </w:pPr>
    </w:p>
    <w:sectPr w:rsidR="001559AC" w:rsidRPr="00E01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571"/>
    <w:rsid w:val="000C3A9B"/>
    <w:rsid w:val="00105CC8"/>
    <w:rsid w:val="001559AC"/>
    <w:rsid w:val="00265D04"/>
    <w:rsid w:val="002B6323"/>
    <w:rsid w:val="006C6CAC"/>
    <w:rsid w:val="007312F3"/>
    <w:rsid w:val="008C6992"/>
    <w:rsid w:val="00E0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015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E01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1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1571"/>
    <w:rPr>
      <w:rFonts w:ascii="Tahoma" w:hAnsi="Tahoma" w:cs="Tahoma"/>
      <w:sz w:val="16"/>
      <w:szCs w:val="16"/>
    </w:rPr>
  </w:style>
  <w:style w:type="character" w:styleId="a6">
    <w:name w:val="Subtle Reference"/>
    <w:basedOn w:val="a0"/>
    <w:uiPriority w:val="31"/>
    <w:qFormat/>
    <w:rsid w:val="00E01571"/>
    <w:rPr>
      <w:smallCaps/>
      <w:color w:val="C0504D" w:themeColor="accent2"/>
      <w:u w:val="single"/>
    </w:rPr>
  </w:style>
  <w:style w:type="paragraph" w:styleId="2">
    <w:name w:val="Quote"/>
    <w:basedOn w:val="a"/>
    <w:next w:val="a"/>
    <w:link w:val="20"/>
    <w:uiPriority w:val="29"/>
    <w:qFormat/>
    <w:rsid w:val="00E01571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E01571"/>
    <w:rPr>
      <w:i/>
      <w:iCs/>
      <w:color w:val="000000" w:themeColor="text1"/>
    </w:rPr>
  </w:style>
  <w:style w:type="character" w:styleId="a7">
    <w:name w:val="Emphasis"/>
    <w:basedOn w:val="a0"/>
    <w:uiPriority w:val="20"/>
    <w:qFormat/>
    <w:rsid w:val="00E01571"/>
    <w:rPr>
      <w:i/>
      <w:iCs/>
    </w:rPr>
  </w:style>
  <w:style w:type="character" w:styleId="a8">
    <w:name w:val="Hyperlink"/>
    <w:basedOn w:val="a0"/>
    <w:uiPriority w:val="99"/>
    <w:unhideWhenUsed/>
    <w:rsid w:val="00E01571"/>
    <w:rPr>
      <w:color w:val="0000FF" w:themeColor="hyperlink"/>
      <w:u w:val="single"/>
    </w:rPr>
  </w:style>
  <w:style w:type="character" w:styleId="a9">
    <w:name w:val="Subtle Emphasis"/>
    <w:basedOn w:val="a0"/>
    <w:uiPriority w:val="19"/>
    <w:qFormat/>
    <w:rsid w:val="00E01571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015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E01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1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1571"/>
    <w:rPr>
      <w:rFonts w:ascii="Tahoma" w:hAnsi="Tahoma" w:cs="Tahoma"/>
      <w:sz w:val="16"/>
      <w:szCs w:val="16"/>
    </w:rPr>
  </w:style>
  <w:style w:type="character" w:styleId="a6">
    <w:name w:val="Subtle Reference"/>
    <w:basedOn w:val="a0"/>
    <w:uiPriority w:val="31"/>
    <w:qFormat/>
    <w:rsid w:val="00E01571"/>
    <w:rPr>
      <w:smallCaps/>
      <w:color w:val="C0504D" w:themeColor="accent2"/>
      <w:u w:val="single"/>
    </w:rPr>
  </w:style>
  <w:style w:type="paragraph" w:styleId="2">
    <w:name w:val="Quote"/>
    <w:basedOn w:val="a"/>
    <w:next w:val="a"/>
    <w:link w:val="20"/>
    <w:uiPriority w:val="29"/>
    <w:qFormat/>
    <w:rsid w:val="00E01571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E01571"/>
    <w:rPr>
      <w:i/>
      <w:iCs/>
      <w:color w:val="000000" w:themeColor="text1"/>
    </w:rPr>
  </w:style>
  <w:style w:type="character" w:styleId="a7">
    <w:name w:val="Emphasis"/>
    <w:basedOn w:val="a0"/>
    <w:uiPriority w:val="20"/>
    <w:qFormat/>
    <w:rsid w:val="00E01571"/>
    <w:rPr>
      <w:i/>
      <w:iCs/>
    </w:rPr>
  </w:style>
  <w:style w:type="character" w:styleId="a8">
    <w:name w:val="Hyperlink"/>
    <w:basedOn w:val="a0"/>
    <w:uiPriority w:val="99"/>
    <w:unhideWhenUsed/>
    <w:rsid w:val="00E01571"/>
    <w:rPr>
      <w:color w:val="0000FF" w:themeColor="hyperlink"/>
      <w:u w:val="single"/>
    </w:rPr>
  </w:style>
  <w:style w:type="character" w:styleId="a9">
    <w:name w:val="Subtle Emphasis"/>
    <w:basedOn w:val="a0"/>
    <w:uiPriority w:val="19"/>
    <w:qFormat/>
    <w:rsid w:val="00E01571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PowerPoint_Presentation1.pptx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11</Pages>
  <Words>2320</Words>
  <Characters>13227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gremi</dc:creator>
  <cp:lastModifiedBy>пк</cp:lastModifiedBy>
  <cp:revision>3</cp:revision>
  <dcterms:created xsi:type="dcterms:W3CDTF">2024-06-25T00:06:00Z</dcterms:created>
  <dcterms:modified xsi:type="dcterms:W3CDTF">2025-09-03T06:21:00Z</dcterms:modified>
</cp:coreProperties>
</file>